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HeimMindBauV — Funktions- und Zubehörräume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jeder Einrichtung müssen mindestens vorhanden sein:</w:t>
      </w:r>
    </w:p>
    <w:p>
      <w:pPr>
        <w:ind w:left="420"/>
      </w:pPr>
      <w:r>
        <w:t xml:space="preserve">1. ein Abstellraum für die Sachen der Heimbewohner,</w:t>
      </w:r>
    </w:p>
    <w:p>
      <w:pPr>
        <w:ind w:left="420"/>
      </w:pPr>
      <w:r>
        <w:t xml:space="preserve">2. besondere Wasch- und Trockenräume zur Benutzung durch die Heimbewohner.</w:t>
      </w:r>
    </w:p>
    <w:p>
      <w:r>
        <w:rPr>
          <w:color w:val="555555"/>
          <w:sz w:val="17"/>
        </w:rPr>
        <w:t xml:space="preserve">Zitiervorschlag: § 21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