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HeimMindBauV — Sanitäre Anlagen</w:t>
      </w:r>
    </w:p>
    <w:p>
      <w:r>
        <w:rPr>
          <w:color w:val="555555"/>
          <w:sz w:val="18"/>
        </w:rPr>
        <w:t xml:space="preserve">Heimmindestbauverordnung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jeweils bis zu acht Bewohner muß im gleichen Geschoß mindestens ein Spülabort mit Handwaschbecken vorhanden sein.</w:t>
      </w:r>
    </w:p>
    <w:p>
      <w:r>
        <w:t xml:space="preserve">(2) Für jeweils bis zu 20 Bewohner muß im gleichen Gebäude mindestens eine Badewanne oder eine Dusche zur Verfügung stehen.</w:t>
      </w:r>
    </w:p>
    <w:p>
      <w:r>
        <w:t xml:space="preserve">(3) In den Gemeinschaftsbädern der Pflegeabteilungen sind die Badewannen an den Längsseiten und an einer Stirnseite freistehend aufzustellen.</w:t>
      </w:r>
    </w:p>
    <w:p>
      <w:r>
        <w:rPr>
          <w:color w:val="555555"/>
          <w:sz w:val="17"/>
        </w:rPr>
        <w:t xml:space="preserve">Zitiervorschlag: § 18 HeimMindBauV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https://recht.nulegal.eu/gesetze/HeimMindBauV/18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