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HeimMindBauV — Therapieräume</w:t>
      </w:r>
    </w:p>
    <w:p>
      <w:r>
        <w:rPr>
          <w:color w:val="555555"/>
          <w:sz w:val="18"/>
        </w:rPr>
        <w:t xml:space="preserve">Heimmindestbauverordnung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In jeder Einrichtung muß ein Raum für Bewegungstherapie oder Gymnastik vorhanden sein, wenn nicht geeignete Gymnastik- und Therapieräume in zumutbarer Entfernung außerhalb der Einrichtung von den Heimbewohnern regelmäßig benutzt werden können. Gemeinschaftsräume nach § 16 können dafür verwendet werden.</w:t>
      </w:r>
    </w:p>
    <w:p>
      <w:r>
        <w:rPr>
          <w:color w:val="555555"/>
          <w:sz w:val="17"/>
        </w:rPr>
        <w:t xml:space="preserve">Zitiervorschlag: § 17 HeimMindBauV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https://recht.nulegal.eu/gesetze/HeimMindBauV/17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