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HeimMindBauV — Gemeinschaftsräume</w:t>
      </w:r>
    </w:p>
    <w:p>
      <w:r>
        <w:rPr>
          <w:color w:val="555555"/>
          <w:sz w:val="18"/>
        </w:rPr>
        <w:t xml:space="preserve">Heimmindestbauverordnung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Einrichtung muß mindestens einen Gemeinschaftsraum von 20 m2 Nutzfläche haben. In Einrichtungen mit mehr als 20 Bewohnern muß eine Nutzfläche von mindestens 1 m2 je Bewohner zur Verfügung stehen.</w:t>
      </w:r>
    </w:p>
    <w:p>
      <w:r>
        <w:t xml:space="preserve">(2) Bei der Berechnung der Fläche nach Absatz 1 können Speiseräume, in Ausnahmefällen auch andere geeignete Räume und Flure, insbesondere Wohnflure, angerechnet werden. Treppen, sonstige Verkehrsflächen, Loggien und Balkone werden nicht berücksichtigt.</w:t>
      </w:r>
    </w:p>
    <w:p>
      <w:r>
        <w:rPr>
          <w:color w:val="555555"/>
          <w:sz w:val="17"/>
        </w:rPr>
        <w:t xml:space="preserve">Zitiervorschlag: § 16 HeimMindBauV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https://recht.nulegal.eu/gesetze/HeimMindBauV/16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