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HeimMindBauV — Funktions- und Zubehörräume</w:t>
      </w:r>
    </w:p>
    <w:p>
      <w:r>
        <w:rPr>
          <w:color w:val="555555"/>
          <w:sz w:val="18"/>
        </w:rPr>
        <w:t xml:space="preserve">Heimmindestbauverordnung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jeder Einrichtung müssen mindestens vorhanden sein:</w:t>
      </w:r>
    </w:p>
    <w:p>
      <w:pPr>
        <w:ind w:left="420"/>
      </w:pPr>
      <w:r>
        <w:t xml:space="preserve">1. ausreichende Kochgelegenheiten für die Bewohner,</w:t>
      </w:r>
    </w:p>
    <w:p>
      <w:pPr>
        <w:ind w:left="420"/>
      </w:pPr>
      <w:r>
        <w:t xml:space="preserve">2. ein Abstellraum für die Sachen der Bewohner,</w:t>
      </w:r>
    </w:p>
    <w:p>
      <w:pPr>
        <w:ind w:left="420"/>
      </w:pPr>
      <w:r>
        <w:t xml:space="preserve">3. in Einrichtungen mit Mehrbettzimmern ein Einzelzimmer im Sinne des § 14 zur vorübergehenden Nutzung durch Bewohner,</w:t>
      </w:r>
    </w:p>
    <w:p>
      <w:pPr>
        <w:ind w:left="420"/>
      </w:pPr>
      <w:r>
        <w:t xml:space="preserve">4. ein Leichenraum, wenn nicht eine kurzfristige Überführung der Leichen sichergestellt ist.</w:t>
      </w:r>
    </w:p>
    <w:p>
      <w:r>
        <w:t xml:space="preserve">(2) Besteht die Einrichtung aus mehreren Gebäuden, müssen die Anforderungen nach Absatz 1 Nr. 1 und 3 in jedem Gebäude erfüllt werden.</w:t>
      </w:r>
    </w:p>
    <w:p>
      <w:r>
        <w:rPr>
          <w:color w:val="555555"/>
          <w:sz w:val="17"/>
        </w:rPr>
        <w:t xml:space="preserve">Zitiervorschlag: § 15 HeimMindBauV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https://recht.nulegal.eu/gesetze/HeimMindBauV/15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