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HeimMindBauV — Sanitäre Anlagen</w:t>
      </w:r>
    </w:p>
    <w:p>
      <w:r>
        <w:rPr>
          <w:color w:val="555555"/>
          <w:sz w:val="18"/>
        </w:rPr>
        <w:t xml:space="preserve">Heimmindestbauverordnung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Badewannen und Duschen in Gemeinschaftsanlagen müssen bei ihrer Benutzung einen Sichtschutz haben.</w:t>
      </w:r>
    </w:p>
    <w:p>
      <w:r>
        <w:t xml:space="preserve">(2) Bei Badewannen muß ein sicheres Ein- und Aussteigen möglich sein.</w:t>
      </w:r>
    </w:p>
    <w:p>
      <w:r>
        <w:t xml:space="preserve">(3) Badewannen, Duschen und Spülaborte müssen mit Haltegriffen versehen sein.</w:t>
      </w:r>
    </w:p>
    <w:p>
      <w:r>
        <w:t xml:space="preserve">(4) In Einrichtungen mit Rollstuhlbenutzern müssen für diese Personen geeignete sanitäre Anlagen in ausreichender Zahl vorhanden sein.</w:t>
      </w:r>
    </w:p>
    <w:p>
      <w:r>
        <w:rPr>
          <w:color w:val="555555"/>
          <w:sz w:val="17"/>
        </w:rPr>
        <w:t xml:space="preserve">Zitiervorschlag: § 10 HeimMindBauV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https://recht.nulegal.eu/gesetze/HeimMindBauV/10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