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HeimKoZuV (Bayern)</w:t>
      </w:r>
    </w:p>
    <w:p>
      <w:r>
        <w:rPr>
          <w:color w:val="555555"/>
          <w:sz w:val="18"/>
        </w:rPr>
        <w:t xml:space="preserve">Heimkostenzuschüsse-Verordnung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60 Satz 2 Nrn. 14 und 15 des Bayerischen Schulfinanzierungsgesetzes – BaySchFG – in der Fassung der Bekanntmachung vom 31. Mai 2000 (GVBl S. 455, ber. S. 633, BayRS 2230-7-1-UK), zuletzt geändert durch § 8 des Gesetzes vom 24. März 2004 (GVBl S. 84) erläßt das Bayerische Staatsministerium für Unterricht und Kultus im Einvernehmen mit den Bayerischen Staatsministerien der Finanzen und des Innern folgende Verordnung:</w:t>
      </w:r>
    </w:p>
    <w:p>
      <w:r>
        <w:rPr>
          <w:color w:val="555555"/>
          <w:sz w:val="17"/>
        </w:rPr>
        <w:t xml:space="preserve">Zitiervorschlag: Eingangsformel HeimKoZuV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https://recht.nulegal.eu/gesetze/HeimKoZuV/eingangsformel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