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HeimKoZuV (Bayern) — Verfahren der Prüfung der Betriebsrechnung</w:t>
      </w:r>
    </w:p>
    <w:p>
      <w:r>
        <w:rPr>
          <w:color w:val="555555"/>
          <w:sz w:val="18"/>
        </w:rPr>
        <w:t xml:space="preserve">Heimkostenzuschüsse-Verordnung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Örtlich zuständig für die Prüfung der Betriebsrechnung ist die Kreisverwaltungsbehörde, in deren Bezirk sich das Heim oder die ähnliche Einrichtung befindet.</w:t>
      </w:r>
    </w:p>
    <w:p>
      <w:r>
        <w:t xml:space="preserve">(2) Anträge auf Prüfung der Betriebsrechnung sind jährlich zu stellen.</w:t>
      </w:r>
    </w:p>
    <w:p>
      <w:r>
        <w:t xml:space="preserve">(3) Der Antrag hat die für den Selbstkostennachweis bedeutsamen Angaben und Unterlagen zu enthalten.</w:t>
      </w:r>
    </w:p>
    <w:p>
      <w:r>
        <w:rPr>
          <w:color w:val="555555"/>
          <w:sz w:val="17"/>
        </w:rPr>
        <w:t xml:space="preserve">Zitiervorschlag: § 4 HeimKoZuV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https://recht.nulegal.eu/gesetze/HeimKoZuV/4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