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HeimG — Übergangsvorschriften</w:t>
      </w:r>
    </w:p>
    <w:p>
      <w:r>
        <w:rPr>
          <w:color w:val="555555"/>
          <w:sz w:val="18"/>
        </w:rPr>
        <w:t xml:space="preserve">Heimgesetz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Rechte und Pflichten aufgrund von Heimverträgen, die vor dem Inkrafttreten dieses Gesetzes geschlossen worden sind, richten sich vom Zeitpunkt des Inkrafttretens des Gesetzes an nach dem neuen Recht.</w:t>
      </w:r>
    </w:p>
    <w:p>
      <w:r>
        <w:t xml:space="preserve">(2) Eine schriftliche Anpassung der vor Inkrafttreten dieses Gesetzes geschlossenen Heimverträge an die Vorschriften dieses Gesetzes muss erst erfolgen, sobald sich Leistungen oder Entgelt aufgrund des § 6 oder § 7 verändern, spätestens ein Jahr nach Inkrafttreten dieses Gesetzes.</w:t>
      </w:r>
    </w:p>
    <w:p>
      <w:r>
        <w:t xml:space="preserve">(3) Ansprüche der Bewohnerinnen und Bewohner sowie deren Rechtsnachfolger aus Heimverträgen wegen fehlender Wirksamkeit von Entgelterhöhungen nach § 4c des Heimgesetzes in der vor dem Inkrafttreten dieses Gesetzes geltenden Fassung können gegen den Träger nur innerhalb von drei Jahren nach Inkrafttreten dieses Gesetzes geltend gemacht werden.</w:t>
      </w:r>
    </w:p>
    <w:p>
      <w:r>
        <w:rPr>
          <w:color w:val="555555"/>
          <w:sz w:val="17"/>
        </w:rPr>
        <w:t xml:space="preserve">Zitiervorschlag: § 26 HeimG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