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HeimG — Zweck des Gesetzes</w:t>
      </w:r>
    </w:p>
    <w:p>
      <w:r>
        <w:rPr>
          <w:color w:val="555555"/>
          <w:sz w:val="18"/>
        </w:rPr>
        <w:t xml:space="preserve">Heimgesetz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Zweck des Gesetzes ist es,</w:t>
      </w:r>
    </w:p>
    <w:p>
      <w:pPr>
        <w:ind w:left="420"/>
      </w:pPr>
      <w:r>
        <w:t xml:space="preserve">1. die Würde sowie die Interessen und Bedürfnisse der Bewohnerinnen und Bewohner von Heimen vor Beeinträchtigungen zu schützen,</w:t>
      </w:r>
    </w:p>
    <w:p>
      <w:pPr>
        <w:ind w:left="420"/>
      </w:pPr>
      <w:r>
        <w:t xml:space="preserve">2. die Selbständigkeit, die Selbstbestimmung und die Selbstverantwortung der Bewohnerinnen und Bewohner zu wahren und zu fördern,</w:t>
      </w:r>
    </w:p>
    <w:p>
      <w:pPr>
        <w:ind w:left="420"/>
      </w:pPr>
      <w:r>
        <w:t xml:space="preserve">3. die Einhaltung der dem Träger des Heims (Träger) gegenüber den Bewohnerinnen und Bewohnern obliegenden Pflichten zu sichern,</w:t>
      </w:r>
    </w:p>
    <w:p>
      <w:pPr>
        <w:ind w:left="420"/>
      </w:pPr>
      <w:r>
        <w:t xml:space="preserve">4. die Mitwirkung der Bewohnerinnen und Bewohner zu sichern,</w:t>
      </w:r>
    </w:p>
    <w:p>
      <w:pPr>
        <w:ind w:left="420"/>
      </w:pPr>
      <w:r>
        <w:t xml:space="preserve">5. eine dem allgemein anerkannten Stand der fachlichen Erkenntnisse entsprechende Qualität des Wohnens und der Betreuung zu sichern,</w:t>
      </w:r>
    </w:p>
    <w:p>
      <w:pPr>
        <w:ind w:left="420"/>
      </w:pPr>
      <w:r>
        <w:t xml:space="preserve">6. die Beratung in Heimangelegenheiten zu fördern sowie</w:t>
      </w:r>
    </w:p>
    <w:p>
      <w:pPr>
        <w:ind w:left="420"/>
      </w:pPr>
      <w:r>
        <w:t xml:space="preserve">7. die Zusammenarbeit der für die Durchführung dieses Gesetzes zuständigen Behörden mit den Trägern und deren Verbänden, den Pflegekassen, dem Medizinischen Dienst der Krankenversicherung sowie den Trägern der Sozialhilfe zu fördern.</w:t>
      </w:r>
    </w:p>
    <w:p>
      <w:r>
        <w:t xml:space="preserve">(2) Die Selbständigkeit der Träger in Zielsetzung und Durchführung ihrer Aufgaben bleibt unberührt.</w:t>
      </w:r>
    </w:p>
    <w:p>
      <w:r>
        <w:rPr>
          <w:color w:val="555555"/>
          <w:sz w:val="17"/>
        </w:rPr>
        <w:t xml:space="preserve">Zitiervorschlag: § 2 HeimG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