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HeimG — Beratung bei Mängeln</w:t>
      </w:r>
    </w:p>
    <w:p>
      <w:r>
        <w:rPr>
          <w:color w:val="555555"/>
          <w:sz w:val="18"/>
        </w:rPr>
        <w:t xml:space="preserve">Heimgesetz</w:t>
      </w:r>
    </w:p>
    <w:p>
      <w:r>
        <w:rPr>
          <w:color w:val="555555"/>
          <w:sz w:val="18"/>
        </w:rPr>
        <w:t xml:space="preserve">Stand: 10.06.2019 (konsolidierte Textfassung, kein amtliches Inkrafttretensdatum)</w:t>
      </w:r>
    </w:p>
    <w:p>
      <w:r>
        <w:t xml:space="preserve">(1) Sind in einem Heim Mängel festgestellt worden, so soll die zuständige Behörde zunächst den Träger über die Möglichkeiten zur Abstellung der Mängel beraten. Das Gleiche gilt, wenn nach einer Anzeige gemäß § 12 vor der Aufnahme des Heimbetriebs Mängel festgestellt werden.</w:t>
      </w:r>
    </w:p>
    <w:p>
      <w:r>
        <w:t xml:space="preserve">(2) An einer Beratung nach Absatz 1 soll der Träger der Sozialhilfe, mit dem Vereinbarungen nach § 75 Abs. 3 des Zwölften Buches Sozialgesetzbuch bestehen, beteiligt werden. Er ist zu beteiligen, wenn die Abstellung der Mängel Auswirkungen auf Entgelte oder Vergütungen haben kann. Die Sätze 1 und 2 gelten entsprechend für Pflegekassen oder sonstige Sozialversicherungsträger, sofern mit ihnen oder ihren Landesverbänden Vereinbarungen nach den §§ 72, 75 oder 85 des Elften Buches Sozialgesetzbuch oder § 39a des Fünften Buches Sozialgesetzbuch bestehen.</w:t>
      </w:r>
    </w:p>
    <w:p>
      <w:r>
        <w:t xml:space="preserve">(3) Ist den Bewohnerinnen und den Bewohnern aufgrund der festgestellten Mängel eine Fortsetzung des Heimvertrags nicht zuzumuten, soll die zuständige Behörde sie dabei unterstützen, eine angemessene anderweitige Unterkunft und Betreuung zu zumutbaren Bedingungen zu finden.</w:t>
      </w:r>
    </w:p>
    <w:p>
      <w:r>
        <w:rPr>
          <w:color w:val="555555"/>
          <w:sz w:val="17"/>
        </w:rPr>
        <w:t xml:space="preserve">Zitiervorschlag: § 16 HeimG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https://recht.nulegal.eu/gesetze/HeimG/16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