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HeimGÄndG 2</w:t>
      </w:r>
    </w:p>
    <w:p>
      <w:r>
        <w:rPr>
          <w:color w:val="555555"/>
          <w:sz w:val="18"/>
        </w:rPr>
        <w:t xml:space="preserve">Zweites Gesetz zur Änderung des Heimgesetzes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Bundestag hat mit Zustimmung des Bundesrates das folgende Gesetz beschlossen:</w:t>
      </w:r>
    </w:p>
    <w:p>
      <w:r>
        <w:rPr>
          <w:color w:val="555555"/>
          <w:sz w:val="17"/>
        </w:rPr>
        <w:t xml:space="preserve">Zitiervorschlag: Eingangsformel HeimGÄndG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https://recht.nulegal.eu/gesetze/HeimG%C3%84ndG%202/eingangsformel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