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HeimGÄndG 1 — Anwendung auf bestehende Heimverhältnisse</w:t>
      </w:r>
    </w:p>
    <w:p>
      <w:r>
        <w:rPr>
          <w:color w:val="555555"/>
          <w:sz w:val="18"/>
        </w:rPr>
        <w:t xml:space="preserve">Erstes Gesetz zur Änderung des Heimgesetzes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Heimverhältnisse auf Grund von Verträgen, die vor dem Inkrafttreten des Gesetzes geschlossen worden sind, richten sich von diesem Zeitpunkt an nach dem neuen Recht.</w:t>
      </w:r>
    </w:p>
    <w:p>
      <w:r>
        <w:t xml:space="preserve">(2) § 14 Abs. 3 Satz 2 ist nicht auf Leistungen auf Grund von Verträgen anzuwenden, die vor dem Inkrafttreten des Gesetzes abgeschlossen worden sind.</w:t>
      </w:r>
    </w:p>
    <w:p>
      <w:r>
        <w:t xml:space="preserve">(3) § 14 Abs. 4 ist in bezug auf die Verzinsung nicht auf Heimverhältnisse anzuwenden, die vor dem Inkrafttreten des Gesetzes vereinbart worden sind, wenn der Ausschluß der Verzinsung ausdrücklich vereinbart worden ist.</w:t>
      </w:r>
    </w:p>
    <w:p>
      <w:r>
        <w:rPr>
          <w:color w:val="555555"/>
          <w:sz w:val="17"/>
        </w:rPr>
        <w:t xml:space="preserve">Zitiervorschlag: Art 4 HeimGÄndG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https://recht.nulegal.eu/gesetze/HeimG%C3%84ndG%201/4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