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HeimEinV</w:t>
      </w:r>
    </w:p>
    <w:p>
      <w:r>
        <w:rPr>
          <w:color w:val="555555"/>
          <w:sz w:val="18"/>
        </w:rPr>
        <w:t xml:space="preserve">Heimtier-Einreiseorte-Verordnung</w:t>
      </w:r>
    </w:p>
    <w:p>
      <w:r>
        <w:rPr>
          <w:color w:val="555555"/>
          <w:sz w:val="18"/>
        </w:rPr>
        <w:t xml:space="preserve">Historische Fassung: Stand 24.12.2024 bis 22.04.2026. Dies ist nicht die aktuelle Fassung.</w:t>
      </w:r>
    </w:p>
    <w:p>
      <w:r>
        <w:t xml:space="preserve">Auf Grund des § 2 Absatz 2 Satz 1 des Tiergesundheitsrechtlichen Bußgeldgesetzes vom 8. Dezember 2024 (BGBl. 2024 I Nr. 405)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HeimEinV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https://recht.nulegal.eu/gesetze/HeimEinV/eingangsformel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