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Heilquellen-V (Bayern) — Entscheidung über den Anerkennungsantrag</w:t>
      </w:r>
    </w:p>
    <w:p>
      <w:r>
        <w:rPr>
          <w:color w:val="555555"/>
          <w:sz w:val="18"/>
        </w:rPr>
        <w:t xml:space="preserve">Verordnung über das Verfahren für die staatliche Anerkennung von Heilquellen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den Anerkennungsantrag entscheidet die zuständige Behörde im Sinn von Art. 33 Satz 1 BayWG. Der Anerkennungsbescheid braucht nur dann begründet zu werden, wenn er beschwerende Auflagen enthält. Der Entscheidungssatz des Anerkennungsbescheids ist im Staatsanzeiger bekanntzumachen.</w:t>
      </w:r>
    </w:p>
    <w:p>
      <w:r>
        <w:rPr>
          <w:color w:val="555555"/>
          <w:sz w:val="17"/>
        </w:rPr>
        <w:t xml:space="preserve">Zitiervorschlag: § 3 Heilquellen-V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https://recht.nulegal.eu/gesetze/Heilquellen-V/3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