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Heilquellen-V (Bayern) — Vorbehandlung des Antrags</w:t>
      </w:r>
    </w:p>
    <w:p>
      <w:r>
        <w:rPr>
          <w:color w:val="555555"/>
          <w:sz w:val="18"/>
        </w:rPr>
        <w:t xml:space="preserve">Verordnung über das Verfahren für die staatliche Anerkennung von Heilquellen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Kreisverwaltungsbehörde leitet je eine Fertigung des Antrags mit dessen Unterlagen</w:t>
      </w:r>
    </w:p>
    <w:p>
      <w:r>
        <w:t xml:space="preserve">a) dem Institut für Gesundheits- und Rehabilitations-Wissenschaften der Ludwig-Maximilians-Universität München und dem Institut für Wasserchemie und Chemische Balneologie der Technischen Universität München,</w:t>
      </w:r>
    </w:p>
    <w:p>
      <w:r>
        <w:t xml:space="preserve">b) dem Wasserwirtschaftsamt,</w:t>
      </w:r>
    </w:p>
    <w:p>
      <w:r>
        <w:t xml:space="preserve">c) wenn es sich um eine Quelle mit einem Kochsalzgehalt von mehr als 15 g/kg handelt, auch dem Bergamt,</w:t>
      </w:r>
    </w:p>
    <w:p>
      <w:r>
        <w:t xml:space="preserve">als amtlichen Sachverständigen zur Stellungnahme zu. Die amtlichen Sachverständigen haben insbesondere die Auflagen vorzuschlagen, die zur Sicherung des Bestands und der Beschaffenheit der Heilquelle erforderlich sind (§ 53 Abs. 3 WHG). Im Fall des Art. 64 Abs. 1 BayWG ist das Bergamt zu beteiligen. Zum Antrag sind außerdem die Gemeinden zu hören, in deren Gebiet die Heilquelle erschlossen oder abgeleitet wird.</w:t>
      </w:r>
    </w:p>
    <w:p>
      <w:r>
        <w:t xml:space="preserve">(2) Die Kreisverwaltungsbehörde äußert sich als amtlicher Sachverständiger aus gesundheitsfachlicher Sicht und legt diese Äußerung gemeinsam mit den Äußerungen nach Abs. 1 der zuständigen Behörde im Sinn von Art. 33 Satz 1 BayWG vor.</w:t>
      </w:r>
    </w:p>
    <w:p>
      <w:r>
        <w:t xml:space="preserve">(3) Werden die nach § 1 vorgeschriebenen Unterlagen trotz Mahnung nicht binnen angemessener Frist eingereicht oder fehlen offensichtlich die gesetzlichen Voraussetzungen für die staatliche Anerkennung der Quelle (§ 53 Abs. 2 Satz 1 WHG), so legt die Kreisverwaltungsbehörde den Antrag ohne Vorbehandlung (Absatz 1) vor.</w:t>
      </w:r>
    </w:p>
    <w:p>
      <w:r>
        <w:rPr>
          <w:color w:val="555555"/>
          <w:sz w:val="17"/>
        </w:rPr>
        <w:t xml:space="preserve">Zitiervorschlag: § 2 Heilquellen-V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https://recht.nulegal.eu/gesetze/Heilquellen-V/2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