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HeilprGDV 1</w:t>
      </w:r>
    </w:p>
    <w:p>
      <w:r>
        <w:rPr>
          <w:color w:val="555555"/>
          <w:sz w:val="18"/>
        </w:rPr>
        <w:t xml:space="preserve">Erste Durchführungsverordnung zum Gesetz über die berufsmäßige Ausübung der Heilkunde ohne Bestallung (Heilpraktikergesetz)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ist durch die höhere Verwaltungsbehörde zurückzunehmen, wenn nachträglich Tatsachen eintreten oder bekannt werden, die eine Versagung der Erlaubnis nach § 2 Abs. 1 rechtfertigen würden. Die Landesregierungen werden ermächtigt, durch Rechtsverordnung die zuständige Behörde abweichend von Satz 1 zu bestimmen. Sie können diese Ermächtigung auf oberste Landesbehörden übertragen.</w:t>
      </w:r>
    </w:p>
    <w:p>
      <w:r>
        <w:t xml:space="preserve">(2)</w:t>
      </w:r>
    </w:p>
    <w:p>
      <w:r>
        <w:t xml:space="preserve">(3) Vor Zurücknahme der Erlaubnis nach Absatz 1 ist der Gutachterausschuß (§ 4) zu hören.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§ 7 HeilprGDV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https://recht.nulegal.eu/gesetze/HeilprGDV%201/7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