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HeilprGDV 1</w:t>
      </w:r>
    </w:p>
    <w:p>
      <w:r>
        <w:rPr>
          <w:color w:val="555555"/>
          <w:sz w:val="18"/>
        </w:rPr>
        <w:t xml:space="preserve">Erste Durchführungsverordnung zum Gesetz über die berufsmäßige Ausübung der Heilkunde ohne Bestallung (Heilpraktikergesetz)</w:t>
      </w:r>
    </w:p>
    <w:p>
      <w:r>
        <w:rPr>
          <w:color w:val="555555"/>
          <w:sz w:val="18"/>
        </w:rPr>
        <w:t xml:space="preserve">Stand: 10.06.2019 (konsolidierte Textfassung, kein amtliches Inkrafttretensdatum)</w:t>
      </w:r>
    </w:p>
    <w:p>
      <w:r>
        <w:t xml:space="preserve">(1) Der Gutachterausschuß besteht aus einem Vorsitzenden, der weder Arzt noch Heilpraktiker sein darf, aus zwei Ärzten sowie aus zwei Heilpraktikern. Die Mitglieder des Ausschusses werden vom Reichsminister des Innern ... für die Dauer von zwei Jahren berufen. Die Landesregierungen werden ermächtigt, durch Rechtsverordnung die zuständige Behörde abweichend von Satz 2 zu bestimmen. Sie können diese Ermächtigung auf oberste Landesbehörden übertragen.</w:t>
      </w:r>
    </w:p>
    <w:p>
      <w:r>
        <w:t xml:space="preserve">(2) Für mehrere Bezirke höherer Verwaltungsbehörden kann ein gemeinsamer Gutachterausschuß gebildet werden.</w:t>
      </w:r>
    </w:p>
    <w:p>
      <w:r>
        <w:rPr>
          <w:color w:val="555555"/>
          <w:sz w:val="17"/>
        </w:rPr>
        <w:t xml:space="preserve">Zitiervorschlag: § 4 HeilprGDV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https://recht.nulegal.eu/gesetze/HeilprGDV%201/4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