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HeilprGDV 1</w:t>
      </w:r>
    </w:p>
    <w:p>
      <w:r>
        <w:rPr>
          <w:color w:val="555555"/>
          <w:sz w:val="18"/>
        </w:rPr>
        <w:t xml:space="preserve">Erste Durchführungsverordnung zum Gesetz über die berufsmäßige Ausübung der Heilkunde ohne Bestallung (Heilpraktikergesetz)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entscheidet die untere Verwaltungsbehörde im Benehmen mit dem Gesundheitsamt.</w:t>
      </w:r>
    </w:p>
    <w:p>
      <w:r>
        <w:t xml:space="preserve">(2) Der Bescheid ist dem Antragsteller, ... und der zuständigen Ärztekammer zuzustellen; das Gesundheitsamt erhält Abschrift des Bescheides. Der ablehnende Bescheid ist mit Gründen zu versehen.</w:t>
      </w:r>
    </w:p>
    <w:p>
      <w:r>
        <w:t xml:space="preserve">(3) Gegen den Bescheid können der Antragsteller ... und die zuständige Ärztekammer binnen zwei Wochen Beschwerde einlegen. Über diese entscheidet die höhere Verwaltungsbehörde nach Anhörung eines Gutachterausschusses (§ 4).</w:t>
      </w:r>
    </w:p>
    <w:p>
      <w:r>
        <w:rPr>
          <w:color w:val="555555"/>
          <w:sz w:val="17"/>
        </w:rPr>
        <w:t xml:space="preserve">Zitiervorschlag: § 3 HeilprGDV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https://recht.nulegal.eu/gesetze/HeilprGDV%201/3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