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Zulassung zum Studium der Medizin gemäß § 2 Abs. 2 des Gesetzes sind an die für den Wohnort des Antragstellers zuständige höhere Verwaltungsbehörde einzureichen.</w:t>
      </w:r>
    </w:p>
    <w:p>
      <w:r>
        <w:t xml:space="preserve">(2) Die Antragsteller dürfen das 30. Lebensjahr noch nicht überschritten haben.</w:t>
      </w:r>
    </w:p>
    <w:p>
      <w:r>
        <w:t xml:space="preserve">(3) Die höhere Verwaltungsbehörde prüft, ob die Voraussetzungen des § 2 der Verordnung erfüllt sind, und hört zu dem Antrag den Gutachterausschuß (§ 4).</w:t>
      </w:r>
    </w:p>
    <w:p>
      <w:r>
        <w:t xml:space="preserve">(4) Nach Abschluß der Ermittlungen legt sie den Antrag mit dem Gutachten dem Reichsminister des Innern vor, der ... gegebenenfalls den Antrag an den Reichsminister für Wissenschaft, Erziehung und Volksbildung weiterleitet.</w:t>
      </w:r>
    </w:p>
    <w:p>
      <w:r>
        <w:rPr>
          <w:color w:val="555555"/>
          <w:sz w:val="17"/>
        </w:rPr>
        <w:t xml:space="preserve">Zitiervorschlag: § 10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