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HeilprG</w:t>
      </w:r>
    </w:p>
    <w:p>
      <w:r>
        <w:rPr>
          <w:color w:val="555555"/>
          <w:sz w:val="18"/>
        </w:rPr>
        <w:t xml:space="preserve">Heilpraktikergesetz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Heilkunde, ohne als Arzt bestallt zu sein, ausüben will, bedarf dazu der Erlaubnis.</w:t>
      </w:r>
    </w:p>
    <w:p>
      <w:r>
        <w:t xml:space="preserve">(2) Ausübung der Heilkunde im Sinne dieses Gesetzes ist jede berufs- oder gewerbsmäßig vorgenommene Tätigkeit zur Feststellung, Heilung oder Linderung von Krankheiten, Leiden oder Körperschäden bei Menschen, auch wenn sie im Dienste von anderen ausgeübt wird.</w:t>
      </w:r>
    </w:p>
    <w:p>
      <w:r>
        <w:t xml:space="preserve">(3) Wer die Heilkunde bisher berufsmäßig ausgeübt hat und weiterhin ausüben will, erhält die Erlaubnis nach Maßgabe der Durchführungsbestimmungen; er führt die Berufsbezeichnung "Heilpraktiker".</w:t>
      </w:r>
    </w:p>
    <w:p>
      <w:r>
        <w:rPr>
          <w:color w:val="555555"/>
          <w:sz w:val="17"/>
        </w:rPr>
        <w:t xml:space="preserve">Zitiervorschlag: § 1 HeilprG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https://recht.nulegal.eu/gesetze/HeilprG/1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