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HeilbZuG (Sachsen)</w:t>
      </w:r>
    </w:p>
    <w:p>
      <w:r>
        <w:rPr>
          <w:color w:val="555555"/>
          <w:sz w:val="18"/>
        </w:rPr>
        <w:t xml:space="preserve">Heilberufezuständigkeitsgesetz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18. Dezember 2003 das folgende Gesetz beschlossen:</w:t>
      </w:r>
    </w:p>
    <w:p>
      <w:r>
        <w:rPr>
          <w:color w:val="555555"/>
          <w:sz w:val="17"/>
        </w:rPr>
        <w:t xml:space="preserve">Zitiervorschlag: Eingangsformel HeilbZuG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https://recht.nulegal.eu/gesetze/HeilbZuG/eingangsformel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