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HeilbZuG (Sachsen) — In-Kraft-Treten und Außer-Kraft-Treten</w:t>
      </w:r>
    </w:p>
    <w:p>
      <w:r>
        <w:rPr>
          <w:color w:val="555555"/>
          <w:sz w:val="18"/>
        </w:rPr>
        <w:t xml:space="preserve">Heilberufezuständigkeitsgesetz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 Gleichzeitig treten das Gesetz über den Vollzug des Berufsrechts der Heilberufe und der arzneimittel- und apothekenrechtlichen Vorschriften vom 5. Dezember 1991 (SächsGVBl. S. 411), zuletzt geändert durch Artikel 17 der Verordnung vom 10. April 2003 (SächsGVBl. S. 94, 96), und § 1 Abs. 3 bis 5 der Verordnung des Sächsischen Staatsministeriums für Soziales, Gesundheit und Familie über die Zuständigkeiten für den Vollzug des Berufsrechts der akademischen Heilberufe und der arzneimittel-, betäubungsmittel- und apothekenrechtlichen Vorschriften vom 26. April 1994 (SächsGVBl. S. 975), die zuletzt durch Artikel 57 der Verordnung vom 10. April 2003 (SächsGVBl. S. 94, 100) geändert worden ist, außer Kraft.</w:t>
      </w:r>
    </w:p>
    <w:p>
      <w:r>
        <w:t xml:space="preserve">Das vorstehende Gesetz wird hiermit ausgefertigt und ist zu verkünden.</w:t>
      </w:r>
    </w:p>
    <w:p>
      <w:r>
        <w:t xml:space="preserve">Dresden, den 9. Februar 2004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Georg Milbradt</w:t>
      </w:r>
    </w:p>
    <w:p>
      <w:r>
        <w:t xml:space="preserve">Die Staatsministerin für Soziales</w:t>
      </w:r>
    </w:p>
    <w:p>
      <w:r>
        <w:t xml:space="preserve">Helma Orosz</w:t>
      </w:r>
    </w:p>
    <w:p>
      <w:r>
        <w:rPr>
          <w:color w:val="555555"/>
          <w:sz w:val="17"/>
        </w:rPr>
        <w:t xml:space="preserve">Zitiervorschlag: § 3 HeilbZuG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https://recht.nulegal.eu/gesetze/HeilbZuG/3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