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HeilVfV 2020 — Krankenhausleistungen, Rehabilitationsmaßnahme und Leistungen der Übergangspflege im Krankenhaus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Erstattungsfähig sind die dienstunfallbedingten Aufwendungen für</w:t>
      </w:r>
    </w:p>
    <w:p>
      <w:pPr>
        <w:ind w:left="420"/>
      </w:pPr>
      <w:r>
        <w:t xml:space="preserve">1. Krankenhausbehandlungen bis zur Höhe der Aufwendungen, wie sie in Krankenhäusern im Sinne der §§ 26 und 26a der Bundesbeihilfeverordnung ohne Abzug von Eigenbehalten entstanden wären,</w:t>
      </w:r>
    </w:p>
    <w:p>
      <w:pPr>
        <w:ind w:left="420"/>
      </w:pPr>
      <w:r>
        <w:t xml:space="preserve">2. die gesondert berechnete Unterkunft</w:t>
      </w:r>
    </w:p>
    <w:p>
      <w:pPr>
        <w:ind w:left="780"/>
      </w:pPr>
      <w:r>
        <w:t xml:space="preserve">a) bis zur Höhe der Aufwendungen für ein Zweibettzimmer der jeweiligen Abteilung oder</w:t>
      </w:r>
    </w:p>
    <w:p>
      <w:pPr>
        <w:ind w:left="780"/>
      </w:pPr>
      <w:r>
        <w:t xml:space="preserve">b) in einem Einbettzimmer, wenn dies auf Grund besonderer dienstlicher oder medizinischer Gründe erforderlich ist,</w:t>
      </w:r>
    </w:p>
    <w:p>
      <w:pPr>
        <w:ind w:left="420"/>
      </w:pPr>
      <w:r>
        <w:t xml:space="preserve">3. ärztlich verordnete Anschlussheilbehandlungen als medizinische Rehabilitationsmaßnahmen bis zur Höhe der Aufwendungen, die in Rehabilitationseinrichtungen, mit denen ein Versorgungsvertrag nach § 111 Absatz 2 Satz 1 des Fünften Buches Sozialgesetzbuch besteht, entstanden wären,</w:t>
      </w:r>
    </w:p>
    <w:p>
      <w:pPr>
        <w:ind w:left="420"/>
      </w:pPr>
      <w:r>
        <w:t xml:space="preserve">4. ärztlich verordnete stationäre Rehabilitationsmaßnahmen bis zur Höhe der Aufwendungen, die in Rehabilitationseinrichtungen, mit denen ein Versorgungsvertrag nach § 111 Absatz 2 Satz 1 des Fünften Buches Sozialgesetzbuch besteht, entstanden wären, sofern die Dienstunfallfürsorgestelle vor Beginn der Maßnahme die Erstattungsfähigkeit anerkannt hat,</w:t>
      </w:r>
    </w:p>
    <w:p>
      <w:pPr>
        <w:ind w:left="420"/>
      </w:pPr>
      <w:r>
        <w:t xml:space="preserve">5. ärztlich verordnete ambulante Rehabilitationsmaßnahmen in Rehabilitationseinrichtungen oder in wohnortnahen Einrichtungen,</w:t>
      </w:r>
    </w:p>
    <w:p>
      <w:pPr>
        <w:ind w:left="420"/>
      </w:pPr>
      <w:r>
        <w:t xml:space="preserve">6. ärztlich verordneten Rehabilitationssport in Gruppen unter ärztlicher Betreuung und Überwachung und</w:t>
      </w:r>
    </w:p>
    <w:p>
      <w:pPr>
        <w:ind w:left="420"/>
      </w:pPr>
      <w:r>
        <w:t xml:space="preserve">7. die in § 39e Absatz 1 und 2 Satz 1 des Fünften Buches Sozialgesetzbuch genannten Leistungen der Übergangspflege für längstens zehn Tage im Anschluss an eine Krankenhausbehandlung.</w:t>
      </w:r>
    </w:p>
    <w:p>
      <w:r>
        <w:t xml:space="preserve">(2) Die Erstattungsfähigkeit von Maßnahmen nach Absatz 1 Nummer 4 darf nur anerkannt werden, wenn die Maßnahmen nach durchgangsärztlicher Stellungnahme zur Behebung oder Minderung der Dienstunfallfolgen notwendig sind. Ort, Zeit und Dauer der Maßnahmen nach Absatz 1 Nummer 4 bestimmt dann die Dienstunfallfürsorgestelle. Bei dienstlichem Wohnsitz im Ausland oder bei einer Abordnung in das Ausland ist abweichend von Satz 1 eine fachärztliche Stellungnahme erforderlich; die Kosten einer erforderlichen Übersetzung werden erstattet.</w:t>
      </w:r>
    </w:p>
    <w:p>
      <w:r>
        <w:t xml:space="preserve">(3) Die verletzte Person hat der Dienstunfallfürsorgestelle den Beginn einer geplanten Krankenhausbehandlung oder einer Rehabilitationsmaßnahme unverzüglich anzuzeigen. Nach Beendigung der Maßnahme hat die verletzte Person der Dienstunfallfürsorgestelle einen ärztlichen Schlussbericht vorzulegen; die dadurch entstehenden Aufwendungen werden erstattet.</w:t>
      </w:r>
    </w:p>
    <w:p>
      <w:r>
        <w:t xml:space="preserve">(4) Die Dienstunfallfürsorgestelle weist die verletzte Person vor Beginn einer stationären Krankenhausbehandlung oder einer stationären Rehabilitationsmaßnahme darauf hin, dass die Aufwendungen, die die nach Absatz 1 Nummer 1 bis 4 erstattungsfähigen Aufwendungen übersteigen, grundsätzlich nicht erstattet werden.</w:t>
      </w:r>
    </w:p>
    <w:p>
      <w:r>
        <w:rPr>
          <w:color w:val="555555"/>
          <w:sz w:val="17"/>
        </w:rPr>
        <w:t xml:space="preserve">Zitiervorschlag: § 9 HeilVfV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https://recht.nulegal.eu/gesetze/HeilVfV%202020/9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