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HeilVfV 2020 — Hilfsmittel, Geräte zur Selbstbehandlung und Selbstkontrolle, Körperersatzstücke</w:t>
      </w:r>
    </w:p>
    <w:p>
      <w:r>
        <w:rPr>
          <w:color w:val="555555"/>
          <w:sz w:val="18"/>
        </w:rPr>
        <w:t xml:space="preserve">Heilverfahrensverordnung</w:t>
      </w:r>
    </w:p>
    <w:p>
      <w:r>
        <w:rPr>
          <w:color w:val="555555"/>
          <w:sz w:val="18"/>
        </w:rPr>
        <w:t xml:space="preserve">Stand: 14.11.2020 (konsolidierte Textfassung, kein amtliches Inkrafttretensdatum)</w:t>
      </w:r>
    </w:p>
    <w:p>
      <w:r>
        <w:t xml:space="preserve">(1) Aufwendungen für die dienstunfallbedingte Versorgung mit Hilfsmitteln, mit Geräten zur Selbstbehandlung und Selbstkontrolle sowie mit Körperersatzstücken nach Anlage 11 der Bundesbeihilfeverordnung werden erstattet, wenn eine ärztliche Verordnung vorliegt. Zu den Aufwendungen zählt auch die Miete von Hilfsmitteln, Geräten zur Selbstbehandlung und Selbstkontrolle sowie von Körperersatzstücken, soweit die Miete nicht höher ist als die Anschaffungskosten. Übersteigen die Anschaffungskosten 1 000 Euro, so werden die Aufwendungen nur erstattet, wenn</w:t>
      </w:r>
    </w:p>
    <w:p>
      <w:pPr>
        <w:ind w:left="420"/>
      </w:pPr>
      <w:r>
        <w:t xml:space="preserve">1. die Dienstunfallfürsorgestelle die Erstattung vorher zugesagt hat oder</w:t>
      </w:r>
    </w:p>
    <w:p>
      <w:pPr>
        <w:ind w:left="420"/>
      </w:pPr>
      <w:r>
        <w:t xml:space="preserve">2. die Verordnung und eine gegebenenfalls erforderliche Anpassung während einer stationären Krankenhausbehandlung erfolgt sind.</w:t>
      </w:r>
    </w:p>
    <w:p>
      <w:r>
        <w:t xml:space="preserve">(2) Die Versorgung umfasst</w:t>
      </w:r>
    </w:p>
    <w:p>
      <w:pPr>
        <w:ind w:left="420"/>
      </w:pPr>
      <w:r>
        <w:t xml:space="preserve">1. die Erstausstattung, das notwendige Zubehör, die Instandsetzung und Instandhaltung, die Änderung und die Ersatzbeschaffung, sofern diese nicht durch Missbrauch, Vorsatz oder grobe Fahrlässigkeit der verletzten Person bedingt ist,</w:t>
      </w:r>
    </w:p>
    <w:p>
      <w:pPr>
        <w:ind w:left="420"/>
      </w:pPr>
      <w:r>
        <w:t xml:space="preserve">2. die Ausbildung im Gebrauch,</w:t>
      </w:r>
    </w:p>
    <w:p>
      <w:pPr>
        <w:ind w:left="420"/>
      </w:pPr>
      <w:r>
        <w:t xml:space="preserve">3. die für den Betrieb eines Hilfsmittels erforderlichen Energiekosten, insbesondere Kosten für Strom oder Batterien,</w:t>
      </w:r>
    </w:p>
    <w:p>
      <w:pPr>
        <w:ind w:left="420"/>
      </w:pPr>
      <w:r>
        <w:t xml:space="preserve">4. dienstunfallbedingt erforderliche Änderungen an Schuhen, Bekleidung und anderen Gebrauchsgegenständen des täglichen Lebens.</w:t>
      </w:r>
    </w:p>
    <w:p>
      <w:r>
        <w:t xml:space="preserve">(3) Ist infolge eines Dienstunfalls eine Sehbeeinträchtigung erstmals eingetreten oder eine bereits bestehende Sehbeeinträchtigung verschlimmert worden, so richtet sich die Erstattung von Aufwendungen für von einer Augenärztin oder einem Augenarzt verordnete Brillen, Kontaktlinsen und andere Sehhilfen nach Anlage 11 Abschnitt 4 der Bundesbeihilfeverordnung ohne Berücksichtigung beihilferechtlicher Alterseinschränkungen. Aufwendungen für ein Brillengestell sind bis zu 100 Euro erstattungsfähig.</w:t>
      </w:r>
    </w:p>
    <w:p>
      <w:r>
        <w:t xml:space="preserve">(4) Ist dienstunfallbedingt die Haltung eines Blindenhundes oder die Mitnahme einer Begleitperson erforderlich, so wird für nachgewiesene Aufwendungen ein Erstattungsbetrag von bis zu 200 Euro monatlich gezahlt.</w:t>
      </w:r>
    </w:p>
    <w:p>
      <w:r>
        <w:rPr>
          <w:color w:val="555555"/>
          <w:sz w:val="17"/>
        </w:rPr>
        <w:t xml:space="preserve">Zitiervorschlag: § 8 HeilVfV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https://recht.nulegal.eu/gesetze/HeilVfV%202020/8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