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HeilVfV 2020 — Erstattungsfähige Aufwendungen bei Traumatisierung</w:t>
      </w:r>
    </w:p>
    <w:p>
      <w:r>
        <w:rPr>
          <w:color w:val="555555"/>
          <w:sz w:val="18"/>
        </w:rPr>
        <w:t xml:space="preserve">Heilverfahrensverordnung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Nach einem traumatischen Ereignis, das von der verletzten Person nach § 45 des Beamtenversorgungsgesetzes angezeigt worden ist, werden zur psychischen Stabilisierung nach vorheriger Zustimmung der Dienstunfallfürsorgestelle die Aufwendungen für bis zu acht Sitzungen in Gruppen- oder Einzeltherapie erstattet. Satz 1 gilt auch, wenn das Verfahren zur Feststellung, ob ein Dienstunfall vorliegt, noch andauert. Für eine Therapie, die auf Veranlassung der Durchgangsärztin oder des Durchgangsarztes erfolgt, gilt die Zustimmung nach Satz 1 als erteilt.</w:t>
      </w:r>
    </w:p>
    <w:p>
      <w:r>
        <w:t xml:space="preserve">(2) Zu den erstattungsfähigen Aufwendungen gehören auch solche für die fundierte Psychodiagnostik, für die Krisen- oder die Frühintervention und für das Abklären der Notwendigkeit weiterführender Behandlungsmaßnahmen.</w:t>
      </w:r>
    </w:p>
    <w:p>
      <w:r>
        <w:t xml:space="preserve">(3) Stellt sich während der Therapie nach Absatz 1 Satz 1 heraus, dass eine weiterführende therapeutische Behandlung erforderlich ist, sind Aufwendungen für weitere Sitzungen in Gruppen- oder Einzeltherapie nur nach vorheriger Anerkennung des Dienstunfalls erstattungsfähig. Vor Beginn der Therapie ist von der Dienstunfallfürsorgestelle ein Gutachten zu Art und Umfang der Therapie einzuholen.</w:t>
      </w:r>
    </w:p>
    <w:p>
      <w:r>
        <w:t xml:space="preserve">(4) Erstattungsfähig sind nur Aufwendungen für Sitzungen bei</w:t>
      </w:r>
    </w:p>
    <w:p>
      <w:pPr>
        <w:ind w:left="420"/>
      </w:pPr>
      <w:r>
        <w:t xml:space="preserve">1. Fachärztinnen oder Fachärzten für Neurologie und Psychiatrie,</w:t>
      </w:r>
    </w:p>
    <w:p>
      <w:pPr>
        <w:ind w:left="420"/>
      </w:pPr>
      <w:r>
        <w:t xml:space="preserve">2. Fachärztinnen oder Fachärzten für Psychiatrie,</w:t>
      </w:r>
    </w:p>
    <w:p>
      <w:pPr>
        <w:ind w:left="420"/>
      </w:pPr>
      <w:r>
        <w:t xml:space="preserve">3. Fachärztinnen oder Fachärzten für Psychiatrie und Psychotherapie,</w:t>
      </w:r>
    </w:p>
    <w:p>
      <w:pPr>
        <w:ind w:left="420"/>
      </w:pPr>
      <w:r>
        <w:t xml:space="preserve">4. Fachärztinnen oder Fachärzten für psychosomatische Medizin und Psychotherapie,</w:t>
      </w:r>
    </w:p>
    <w:p>
      <w:pPr>
        <w:ind w:left="420"/>
      </w:pPr>
      <w:r>
        <w:t xml:space="preserve">5. Fachärztinnen oder Fachärzten für psychotherapeutische Medizin,</w:t>
      </w:r>
    </w:p>
    <w:p>
      <w:pPr>
        <w:ind w:left="420"/>
      </w:pPr>
      <w:r>
        <w:t xml:space="preserve">6. ärztlichen und psychologischen Psychotherapeutinnen oder Psychotherapeuten sowie</w:t>
      </w:r>
    </w:p>
    <w:p>
      <w:pPr>
        <w:ind w:left="420"/>
      </w:pPr>
      <w:r>
        <w:t xml:space="preserve">7. Psychotherapeutinnen oder Psychotherapeuten nach § 1 Absatz 1 Satz 1 des Psychotherapeutengesetzes in der jeweils geltenden Fassung.</w:t>
      </w:r>
    </w:p>
    <w:p>
      <w:r>
        <w:rPr>
          <w:color w:val="555555"/>
          <w:sz w:val="17"/>
        </w:rPr>
        <w:t xml:space="preserve">Zitiervorschlag: § 7 HeilVfV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https://recht.nulegal.eu/gesetze/HeilVfV%202020/7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