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HeilVfV 2020 — Gutachten</w:t>
      </w:r>
    </w:p>
    <w:p>
      <w:r>
        <w:rPr>
          <w:color w:val="555555"/>
          <w:sz w:val="18"/>
        </w:rPr>
        <w:t xml:space="preserve">Heilverfahrensverordnung</w:t>
      </w:r>
    </w:p>
    <w:p>
      <w:r>
        <w:rPr>
          <w:color w:val="555555"/>
          <w:sz w:val="18"/>
        </w:rPr>
        <w:t xml:space="preserve">Stand: 14.11.2020 (konsolidierte Textfassung, kein amtliches Inkrafttretensdatum)</w:t>
      </w:r>
    </w:p>
    <w:p>
      <w:r>
        <w:t xml:space="preserve">Sofern nach dieser Verordnung ein ärztliches Gutachten oder ein Gutachten zur Feststellung eines ursächlichen Zusammenhangs eingeholt wird, beauftragt die Dienstunfallfürsorgestelle</w:t>
      </w:r>
    </w:p>
    <w:p>
      <w:pPr>
        <w:ind w:left="420"/>
      </w:pPr>
      <w:r>
        <w:t xml:space="preserve">1. eine Gutachterin oder einen Gutachter aus dem Gutachterverzeichnis der Deutschen Gesetzlichen Unfallversicherung,</w:t>
      </w:r>
    </w:p>
    <w:p>
      <w:pPr>
        <w:ind w:left="420"/>
      </w:pPr>
      <w:r>
        <w:t xml:space="preserve">2. eine Gutachterin oder einen Gutachter eines medizinischen Gutachteninstituts oder</w:t>
      </w:r>
    </w:p>
    <w:p>
      <w:pPr>
        <w:ind w:left="420"/>
      </w:pPr>
      <w:r>
        <w:t xml:space="preserve">3. eine andere Fachärztin oder einen anderen Facharzt, die oder der über umfangreiche Erfahrungen auf dem Gebiet der unfallrechtlichen Begutachtung verfügt.</w:t>
      </w:r>
    </w:p>
    <w:p>
      <w:r>
        <w:t xml:space="preserve">Die Einschränkungen nach Satz 1 gelten nicht in Fällen des § 10 Absatz 1 Satz 2 sowie bei Begutachtungen, die im Ausland erfolgen müssen.</w:t>
      </w:r>
    </w:p>
    <w:p>
      <w:r>
        <w:rPr>
          <w:color w:val="555555"/>
          <w:sz w:val="17"/>
        </w:rPr>
        <w:t xml:space="preserve">Zitiervorschlag: § 5 HeilVfV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https://recht.nulegal.eu/gesetze/HeilVfV%202020/5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