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HeilVfV 2020 — Durchgangsärztliche und besondere unfallmedizinische Behandlung</w:t>
      </w:r>
    </w:p>
    <w:p>
      <w:r>
        <w:rPr>
          <w:color w:val="555555"/>
          <w:sz w:val="18"/>
        </w:rPr>
        <w:t xml:space="preserve">Heilverfahrensverordnung</w:t>
      </w:r>
    </w:p>
    <w:p>
      <w:r>
        <w:rPr>
          <w:color w:val="555555"/>
          <w:sz w:val="18"/>
        </w:rPr>
        <w:t xml:space="preserve">Stand: 14.11.2020 (konsolidierte Textfassung, kein amtliches Inkrafttretensdatum)</w:t>
      </w:r>
    </w:p>
    <w:p>
      <w:r>
        <w:t xml:space="preserve">(1) Ist auf Grund einer Verletzung mit einer vorübergehenden Dienstunfähigkeit über den Unfalltag hinaus oder mit einer Behandlungsbedürftigkeit zu rechnen, so hat sich die verletzte Person von einer Durchgangsärztin oder einem Durchgangsarzt untersuchen und behandeln zu lassen. Dabei hat die verletzte Person die freie Wahl unter den am Unfall-, Dienst- oder Wohnort niedergelassenen oder an einem dortigen Krankenhaus tätigen Durchgangsärztinnen und Durchgangsärzten.</w:t>
      </w:r>
    </w:p>
    <w:p>
      <w:r>
        <w:t xml:space="preserve">(2) Die Verpflichtung nach Absatz 1 Satz 1 entfällt bei</w:t>
      </w:r>
    </w:p>
    <w:p>
      <w:pPr>
        <w:ind w:left="420"/>
      </w:pPr>
      <w:r>
        <w:t xml:space="preserve">1. Verletzungen, die ausschließlich die Augen, die Zähne, den Hals, die Nase oder die Ohren betreffen,</w:t>
      </w:r>
    </w:p>
    <w:p>
      <w:pPr>
        <w:ind w:left="420"/>
      </w:pPr>
      <w:r>
        <w:t xml:space="preserve">2. rein psychischen Gesundheitsstörungen,</w:t>
      </w:r>
    </w:p>
    <w:p>
      <w:pPr>
        <w:ind w:left="420"/>
      </w:pPr>
      <w:r>
        <w:t xml:space="preserve">3. medizinischen Notfällen sowie</w:t>
      </w:r>
    </w:p>
    <w:p>
      <w:pPr>
        <w:ind w:left="420"/>
      </w:pPr>
      <w:r>
        <w:t xml:space="preserve">4. Unfällen im Ausland.</w:t>
      </w:r>
    </w:p>
    <w:p>
      <w:r>
        <w:t xml:space="preserve">(3) Sofern wegen der Art und Schwere der Verletzung eine besondere unfallmedizinische Behandlung erforderlich ist, hat die Dienstunfallfürsorgestelle dafür Sorge zu tragen, dass die verletzte Person in einem Krankenhaus im Sinne des § 34 Absatz 2 des Siebten Buches Sozialgesetzbuch behandelt wird.</w:t>
      </w:r>
    </w:p>
    <w:p>
      <w:r>
        <w:rPr>
          <w:color w:val="555555"/>
          <w:sz w:val="17"/>
        </w:rPr>
        <w:t xml:space="preserve">Zitiervorschlag: § 4 HeilVfV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https://recht.nulegal.eu/gesetze/HeilVfV%202020/4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