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HeilVfV 2020 — Erstattungsverfahren</w:t>
      </w:r>
    </w:p>
    <w:p>
      <w:r>
        <w:rPr>
          <w:color w:val="555555"/>
          <w:sz w:val="18"/>
        </w:rPr>
        <w:t xml:space="preserve">Heilverfahrensverordnung</w:t>
      </w:r>
    </w:p>
    <w:p>
      <w:r>
        <w:rPr>
          <w:color w:val="555555"/>
          <w:sz w:val="18"/>
        </w:rPr>
        <w:t xml:space="preserve">Stand: 01.01.2026 (konsolidierte Textfassung, kein amtliches Inkrafttretensdatum)</w:t>
      </w:r>
    </w:p>
    <w:p>
      <w:r>
        <w:t xml:space="preserve">(1) Soweit nichts anderes bestimmt ist, werden Aufwendungen nur erstattet, wenn die verletzte Person dies bei der Dienstunfallfürsorgestelle schriftlich oder elektronisch beantragt und die Aufwendungen nachweist. Satz 1 gilt entsprechend für Hinterbliebene, wenn die verletzte Person an den Folgen des Dienstunfalls verstorben ist.</w:t>
      </w:r>
    </w:p>
    <w:p>
      <w:r>
        <w:t xml:space="preserve">(2) Auf Antrag kann die Dienstunfallfürsorgestelle Vorschüsse oder Abschlagszahlungen gewähren.</w:t>
      </w:r>
    </w:p>
    <w:p>
      <w:r>
        <w:t xml:space="preserve">(3) Die Dienstunfallfürsorgestelle kann bei Zweifeln an der Notwendigkeit oder an der Dienstunfallbedingtheit einer Maßnahme oder bei Zweifeln an der wirtschaftlichen Angemessenheit von Aufwendungen ein ärztliches Gutachten einholen.</w:t>
      </w:r>
    </w:p>
    <w:p>
      <w:r>
        <w:t xml:space="preserve">(4) In Fällen, in denen sich die Anerkennung eines Dienstunfalls aus Gründen verzögert, die die verletzte Person nicht zu vertreten hat, können die Aufwendungen zunächst unter Vorbehalt erstattet werden. Dies gilt auch während anhängiger Verfahren auf Anerkennung eines Dienstunfalls. Wird nachträglich festgestellt, dass kein Dienstunfall vorliegt, ist der Erstattungsbetrag zurückzuzahlen.</w:t>
      </w:r>
    </w:p>
    <w:p>
      <w:r>
        <w:t xml:space="preserve">(5) Abweichend von Absatz 4 Satz 3 werden die Aufwendungen von der Dienstunfallfürsorgestelle erstattet, die einer verletzten Polizeivollzugsbeamtin oder einem verletzten Polizeivollzugsbeamten in der Bundespolizei und beim Deutschen Bundestag bis zur Bekanntgabe der Entscheidung, mit der festgestellt wurde, dass kein Dienstunfall vorliegt, entstanden sind. Satz 1 gilt nur, wenn</w:t>
      </w:r>
    </w:p>
    <w:p>
      <w:pPr>
        <w:ind w:left="420"/>
      </w:pPr>
      <w:r>
        <w:t xml:space="preserve">1. sich die in Satz 1 genannte Entscheidung nicht aus Gründen verzögert, die die verletzte Person zu vertreten hat, und</w:t>
      </w:r>
    </w:p>
    <w:p>
      <w:pPr>
        <w:ind w:left="420"/>
      </w:pPr>
      <w:r>
        <w:t xml:space="preserve">2. die verletzte Person die Maßnahmen, die den Aufwendungen zugrunde liegen, im guten Glauben an das Vorliegen eines Dienstunfalls in Anspruch genommen hat.</w:t>
      </w:r>
    </w:p>
    <w:p>
      <w:r>
        <w:t xml:space="preserve">(6) Bescheide, mit denen Aufwendungen wie beantragt erstattet werden, können auch vollständig durch automatisierte Einrichtungen erlassen werden.</w:t>
      </w:r>
    </w:p>
    <w:p>
      <w:r>
        <w:rPr>
          <w:color w:val="555555"/>
          <w:sz w:val="17"/>
        </w:rPr>
        <w:t xml:space="preserve">Zitiervorschlag: § 17 HeilVfV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https://recht.nulegal.eu/gesetze/HeilVfV%202020/17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HeilVfV 2020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