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HeilVfV 2020 — Überführung und Bestattung</w:t>
      </w:r>
    </w:p>
    <w:p>
      <w:r>
        <w:rPr>
          <w:color w:val="555555"/>
          <w:sz w:val="18"/>
        </w:rPr>
        <w:t xml:space="preserve">Heilverfahrensverordnung</w:t>
      </w:r>
    </w:p>
    <w:p>
      <w:r>
        <w:rPr>
          <w:color w:val="555555"/>
          <w:sz w:val="18"/>
        </w:rPr>
        <w:t xml:space="preserve">Stand: 14.11.2020 (konsolidierte Textfassung, kein amtliches Inkrafttretensdatum)</w:t>
      </w:r>
    </w:p>
    <w:p>
      <w:r>
        <w:t xml:space="preserve">(1) Ist die verletzte Person an den Folgen des Dienstunfalls verstorben, so werden erstattet die Aufwendungen für</w:t>
      </w:r>
    </w:p>
    <w:p>
      <w:pPr>
        <w:ind w:left="420"/>
      </w:pPr>
      <w:r>
        <w:t xml:space="preserve">1. die Überführung der verstorbenen Person an den Ort der Bestattung und</w:t>
      </w:r>
    </w:p>
    <w:p>
      <w:pPr>
        <w:ind w:left="420"/>
      </w:pPr>
      <w:r>
        <w:t xml:space="preserve">2. die Bestattung, die Todesanzeigen, Trauerkarten und Danksagungen, die Trauerfeier und die Bewirtung der Trauergäste sowie die Herrichtung einer Grabstätte einschließlich des Grabmals und des ersten Grabschmucks bis zu einem Siebtel der sich im Zeitpunkt des Todes aus § 18 Absatz 1 des Vierten Buches Sozialgesetzbuch ergebenden jährlichen Bezugsgröße.</w:t>
      </w:r>
    </w:p>
    <w:p>
      <w:r>
        <w:t xml:space="preserve">(2) Auf den Erstattungsbetrag nach Absatz 1 Nummer 2 ist ein Sterbegeld nach § 18 Absatz 1 und 2 des Beamtenversorgungsgesetzes mit 40 Prozent seines Bruttobetrages anzurechnen.</w:t>
      </w:r>
    </w:p>
    <w:p>
      <w:r>
        <w:rPr>
          <w:color w:val="555555"/>
          <w:sz w:val="17"/>
        </w:rPr>
        <w:t xml:space="preserve">Zitiervorschlag: § 16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HeilVfV 2020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