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HeilVfV 2020 — Erhöhter Kleider- und Wäscheverschleiß</w:t>
      </w:r>
    </w:p>
    <w:p>
      <w:r>
        <w:rPr>
          <w:color w:val="555555"/>
          <w:sz w:val="18"/>
        </w:rPr>
        <w:t xml:space="preserve">Heilverfahrensverordnung</w:t>
      </w:r>
    </w:p>
    <w:p>
      <w:r>
        <w:rPr>
          <w:color w:val="555555"/>
          <w:sz w:val="18"/>
        </w:rPr>
        <w:t xml:space="preserve">Stand: 01.01.2024 (konsolidierte Textfassung, kein amtliches Inkrafttretensdatum)</w:t>
      </w:r>
    </w:p>
    <w:p>
      <w:r>
        <w:t xml:space="preserve">Aufwendungen, die infolge eines dienstunfallbedingt erhöhten Kleider- und Wäscheverschleißes entstehen, werden von Amts wegen mit einem monatlichen Pauschbetrag in entsprechender Anwendung des § 46 Absatz 2 des Vierzehnten Buches Sozialgesetzbuch erstattet. Die Entscheidung trifft die Dienstunfallfürsorgestelle auf Grund einer fachärztlichen Bescheinigung, die auch Aussagen zur Dauer des Zustands beinhaltet. Die in Sonderfällen den Pauschbetrag nachweislich übersteigenden Aufwendungen werden jeweils für das abgelaufene Kalenderjahr auf Antrag erstattet.</w:t>
      </w:r>
    </w:p>
    <w:p>
      <w:r>
        <w:rPr>
          <w:color w:val="555555"/>
          <w:sz w:val="17"/>
        </w:rPr>
        <w:t xml:space="preserve">Zitiervorschlag: § 13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