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HeilVfV 2020 — Haushaltshilfe</w:t>
      </w:r>
    </w:p>
    <w:p>
      <w:r>
        <w:rPr>
          <w:color w:val="555555"/>
          <w:sz w:val="18"/>
        </w:rPr>
        <w:t xml:space="preserve">Heilverfahrensverordnung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(1) Eine Haushaltshilfe ist notwendig, solange und soweit der verletzten Person die Weiterführung des Haushalts nicht möglich ist wegen</w:t>
      </w:r>
    </w:p>
    <w:p>
      <w:pPr>
        <w:ind w:left="420"/>
      </w:pPr>
      <w:r>
        <w:t xml:space="preserve">1. eines dienstunfallbedingten außerhäuslichen Heilverfahrens oder</w:t>
      </w:r>
    </w:p>
    <w:p>
      <w:pPr>
        <w:ind w:left="420"/>
      </w:pPr>
      <w:r>
        <w:t xml:space="preserve">2. der Art und Schwere des dienstunfallbedingten Körperschadens, insbesondere nach einem stationären Heilverfahren, einer ambulanten Operation oder einer ambulanten Krankenhausbehandlung.</w:t>
      </w:r>
    </w:p>
    <w:p>
      <w:r>
        <w:t xml:space="preserve">(2) Aufwendungen für eine Haushaltshilfe werden nur erstattet, wenn und solange keine im Haushalt lebende Person den Haushalt weiterführen kann und im Haushalt der verletzten Person eine der folgenden Personen lebt:</w:t>
      </w:r>
    </w:p>
    <w:p>
      <w:pPr>
        <w:ind w:left="420"/>
      </w:pPr>
      <w:r>
        <w:t xml:space="preserve">1. ein Kind (§ 63 Absatz 1 Satz 1 des Einkommensteuergesetzes), das zu Beginn des Zeitraums, für den die Haushaltshilfe gewährt wird, das zwölfte Lebensjahr noch nicht vollendet hat,</w:t>
      </w:r>
    </w:p>
    <w:p>
      <w:pPr>
        <w:ind w:left="420"/>
      </w:pPr>
      <w:r>
        <w:t xml:space="preserve">2. eine pflegebedürftige Ehegattin oder ein pflegebedürftiger Ehegatte oder</w:t>
      </w:r>
    </w:p>
    <w:p>
      <w:pPr>
        <w:ind w:left="420"/>
      </w:pPr>
      <w:r>
        <w:t xml:space="preserve">3. ein Kind der verletzten Person, das</w:t>
      </w:r>
    </w:p>
    <w:p>
      <w:pPr>
        <w:ind w:left="780"/>
      </w:pPr>
      <w:r>
        <w:t xml:space="preserve">a) pflegebedürftig ist oder</w:t>
      </w:r>
    </w:p>
    <w:p>
      <w:pPr>
        <w:ind w:left="780"/>
      </w:pPr>
      <w:r>
        <w:t xml:space="preserve">b) wegen körperlicher, geistiger oder seelischer Behinderung außerstande ist, sich selbst zu unterhalten.</w:t>
      </w:r>
    </w:p>
    <w:p>
      <w:r>
        <w:t xml:space="preserve">Einer alleinstehenden verletzten Person werden Aufwendungen für eine Haushaltshilfe nach einem stationären Heilverfahren, nach einer ambulanten Operation oder nach einer ambulanten Krankenhausbehandlung erstattet.</w:t>
      </w:r>
    </w:p>
    <w:p>
      <w:r>
        <w:t xml:space="preserve">(3) Werden Leistungen nach § 34 des Beamtenversorgungsgesetzes gewährt, besteht kein Anspruch auf Erstattung der Aufwendungen für eine Haushaltshilfe.</w:t>
      </w:r>
    </w:p>
    <w:p>
      <w:r>
        <w:t xml:space="preserve">(4) Bei einem dienstunfallbedingten außerhäuslichen Heilverfahren (Absatz 1 Nummer 1) sind Aufwendungen für eine Haushaltshilfe zu erstatten, solange das außerhäusliche Heilverfahren andauert. Ist eine Haushaltshilfe nach einem stationären Heilverfahren, einer ambulanten Operation oder einer ambulanten Krankenhausbehandlung (Absatz 1 Nummer 2) notwendig, so werden die Aufwendungen erstattet für</w:t>
      </w:r>
    </w:p>
    <w:p>
      <w:pPr>
        <w:ind w:left="420"/>
      </w:pPr>
      <w:r>
        <w:t xml:space="preserve">1. höchstens 28 Tage oder</w:t>
      </w:r>
    </w:p>
    <w:p>
      <w:pPr>
        <w:ind w:left="420"/>
      </w:pPr>
      <w:r>
        <w:t xml:space="preserve">2. höchstens sechs Monate, sofern gleichzeitig die Voraussetzungen nach Absatz 2 Satz 1 vorliegen.</w:t>
      </w:r>
    </w:p>
    <w:p>
      <w:r>
        <w:t xml:space="preserve">(5) Der Dienstunfallfürsorgestelle ist eine fachärztliche Bescheinigung über die Notwendigkeit und den zeitlichen Umfang der Haushaltshilfe vorzulegen. Die Aufwendungen für eine Haushaltshilfe sind entsprechend § 28 Absatz 1 Satz 1 der Bundesbeihilfeverordnung erstattungsfähig. Aufwendungen für notwendige Fahrten der Haushaltshilfe werden in sinngemäßer Anwendung des § 12 Absatz 1 Satz 1 erstattet. § 3 Absatz 3 gilt entsprechend.</w:t>
      </w:r>
    </w:p>
    <w:p>
      <w:r>
        <w:rPr>
          <w:color w:val="555555"/>
          <w:sz w:val="17"/>
        </w:rPr>
        <w:t xml:space="preserve">Zitiervorschlag: § 11 HeilVfV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https://recht.nulegal.eu/gesetze/HeilVfV%202020/11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HeilVfV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