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HeilVfV 2020 — Persönlicher Geltungsbereich</w:t>
      </w:r>
    </w:p>
    <w:p>
      <w:r>
        <w:rPr>
          <w:color w:val="555555"/>
          <w:sz w:val="18"/>
        </w:rPr>
        <w:t xml:space="preserve">Heilverfahrensverordnung</w:t>
      </w:r>
    </w:p>
    <w:p>
      <w:r>
        <w:rPr>
          <w:color w:val="555555"/>
          <w:sz w:val="18"/>
        </w:rPr>
        <w:t xml:space="preserve">Stand: 14.11.2020 (konsolidierte Textfassung, kein amtliches Inkrafttretensdatum)</w:t>
      </w:r>
    </w:p>
    <w:p>
      <w:r>
        <w:t xml:space="preserve">Diese Verordnung gilt für die durch einen Dienstunfall nach § 31 des Beamtenversorgungsgesetzes verletzten</w:t>
      </w:r>
    </w:p>
    <w:p>
      <w:pPr>
        <w:ind w:left="420"/>
      </w:pPr>
      <w:r>
        <w:t xml:space="preserve">1. Beamtinnen und Beamten des Bundes,</w:t>
      </w:r>
    </w:p>
    <w:p>
      <w:pPr>
        <w:ind w:left="420"/>
      </w:pPr>
      <w:r>
        <w:t xml:space="preserve">2. Ehrenbeamtinnen und Ehrenbeamten des Bundes (§ 6 Absatz 5 Satz 1 des Bundesbeamtengesetzes).</w:t>
      </w:r>
    </w:p>
    <w:p>
      <w:r>
        <w:t xml:space="preserve">Für die Richterinnen und Richter im Bundesdienst gilt diese Verordnung nach § 46 des Deutschen Richtergesetzes entsprechend.</w:t>
      </w:r>
    </w:p>
    <w:p>
      <w:r>
        <w:rPr>
          <w:color w:val="555555"/>
          <w:sz w:val="17"/>
        </w:rPr>
        <w:t xml:space="preserve">Zitiervorschlag: § 1 HeilVfV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https://recht.nulegal.eu/gesetze/HeilVfV%202020/1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