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HeilMWerbG</w:t>
      </w:r>
    </w:p>
    <w:p>
      <w:r>
        <w:rPr>
          <w:color w:val="555555"/>
          <w:sz w:val="18"/>
        </w:rPr>
        <w:t xml:space="preserve">Heilmittelwerbegesetz</w:t>
      </w:r>
    </w:p>
    <w:p>
      <w:r>
        <w:rPr>
          <w:color w:val="555555"/>
          <w:sz w:val="18"/>
        </w:rPr>
        <w:t xml:space="preserve">Stand: 25.12.2019 (konsolidierte Textfassung, kein amtliches Inkrafttretensdatum)</w:t>
      </w:r>
    </w:p>
    <w:p>
      <w:r>
        <w:t xml:space="preserve">Unzulässig ist eine Werbung für die Erkennung oder Behandlung von Krankheiten, Leiden, Körperschäden oder krankhaften Beschwerden, die nicht auf eigener Wahrnehmung an dem zu behandelnden Menschen oder Tier beruht (Fernbehandlung). Satz 1 ist nicht anzuwenden auf die Werbung für Fernbehandlungen, die unter Verwendung von Kommunikationsmedien erfolgen, wenn nach allgemein anerkannten fachlichen Standards ein persönlicher ärztlicher Kontakt mit dem zu behandelnden Menschen nicht erforderlich ist.</w:t>
      </w:r>
    </w:p>
    <w:p>
      <w:r>
        <w:rPr>
          <w:color w:val="555555"/>
          <w:sz w:val="17"/>
        </w:rPr>
        <w:t xml:space="preserve">Zitiervorschlag: § 9 HeilMWerbG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https://recht.nulegal.eu/gesetze/HeilMWerbG/9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