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4a HeilMWerbG</w:t>
      </w:r>
    </w:p>
    <w:p>
      <w:r>
        <w:rPr>
          <w:color w:val="555555"/>
          <w:sz w:val="18"/>
        </w:rPr>
        <w:t xml:space="preserve">Heilmittelwerbegesetz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Unzulässig ist es, in der Packungsbeilage eines Arzneimittels für andere Arzneimittel oder andere Mittel zu werben.</w:t>
      </w:r>
    </w:p>
    <w:p>
      <w:r>
        <w:t xml:space="preserve">(2) Unzulässig ist es auch, außerhalb der Fachkreise für die im Rahmen der vertragsärztlichen Versorgung bestehende Verordnungsfähigkeit eines Arzneimittels zu werben.</w:t>
      </w:r>
    </w:p>
    <w:p>
      <w:r>
        <w:rPr>
          <w:color w:val="555555"/>
          <w:sz w:val="17"/>
        </w:rPr>
        <w:t xml:space="preserve">Zitiervorschlag: § 4a HeilMWerbG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https://recht.nulegal.eu/gesetze/HeilMWerbG/4a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