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HeilMWerbG</w:t>
      </w:r>
    </w:p>
    <w:p>
      <w:r>
        <w:rPr>
          <w:color w:val="555555"/>
          <w:sz w:val="18"/>
        </w:rPr>
        <w:t xml:space="preserve">Heilmittelwerbegesetz</w:t>
      </w:r>
    </w:p>
    <w:p>
      <w:r>
        <w:rPr>
          <w:color w:val="555555"/>
          <w:sz w:val="18"/>
        </w:rPr>
        <w:t xml:space="preserve">Stand: 10.06.2019 (konsolidierte Textfassung, kein amtliches Inkrafttretensdatum)</w:t>
      </w:r>
    </w:p>
    <w:p>
      <w:r>
        <w:t xml:space="preserve">Fachkreise im Sinne dieses Gesetzes sind Angehörige der Heilberufe oder des Heilgewerbes, Einrichtungen, die der Gesundheit von Mensch oder Tier dienen, oder sonstige Personen, soweit sie mit Arzneimitteln, Medizinprodukten, Verfahren, Behandlungen, Gegenständen oder anderen Mitteln erlaubterweise Handel treiben oder sie in Ausübung ihres Berufes anwenden.</w:t>
      </w:r>
    </w:p>
    <w:p>
      <w:r>
        <w:rPr>
          <w:color w:val="555555"/>
          <w:sz w:val="17"/>
        </w:rPr>
        <w:t xml:space="preserve">Zitiervorschlag: § 2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