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Werbematerial und sonstige Gegenstände, auf die sich eine Straftat nach § 14 oder eine Ordnungswidrigkeit nach § 15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16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