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HeilBerG (Brandenburg) — Form und Zustellung des Einstellungsbeschlusses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Einstellungsbeschluss ist zu begründen und zuzustellen. § 92 Abs. 2 findet entsprechende Anwendung.</w:t>
      </w:r>
    </w:p>
    <w:p>
      <w:r>
        <w:t xml:space="preserve">(2) Im Falle des Todes von Beschuldigten muss das Gericht den Einstellungsbeschluss den in § 93 Absatz 2 Satz 1 genannten Angehörigen schriftlich mitteilen.</w:t>
      </w:r>
    </w:p>
    <w:p>
      <w:r>
        <w:rPr>
          <w:color w:val="555555"/>
          <w:sz w:val="17"/>
        </w:rPr>
        <w:t xml:space="preserve">Zitiervorschlag: § 94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