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92 HeilBerG (Brandenburg) — Verkündung und Form des Urteils</w:t>
      </w:r>
    </w:p>
    <w:p>
      <w:r>
        <w:rPr>
          <w:color w:val="555555"/>
          <w:sz w:val="18"/>
        </w:rPr>
        <w:t xml:space="preserve">Heilberufsgesetz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Urteil wird durch Verlesen der Urteilsformel und Mitteilung der wesentlichen Urteilsgründe verkündet. Es ist schriftlich abzufassen und mit Gründen zu versehen.</w:t>
      </w:r>
    </w:p>
    <w:p>
      <w:r>
        <w:t xml:space="preserve">(2) Das Urteil ist von der oder dem Vorsitzenden und den Beisitzerinnen und Beisitzern zu unterzeichnen und der oder dem Beschuldigten, dem Beistand sowie den Antragsberechtigten zuzustellen.</w:t>
      </w:r>
    </w:p>
    <w:p>
      <w:r>
        <w:rPr>
          <w:color w:val="555555"/>
          <w:sz w:val="17"/>
        </w:rPr>
        <w:t xml:space="preserve">Zitiervorschlag: § 92 HeilBerG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https://recht.nulegal.eu/gesetze/HeilBerG/92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