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HeilBerG (Brandenburg) — Wahl der Mitglieder der Kammerversammlung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Kammerversammlung werden in unmittelbarer, freier, gleicher und geheimer Wahl gewählt. Die Wahlperiode dauert außer im Falle des § 17 fünf Jahre. Sie endet mit dem Zusammentritt der neuen Kammerversammlung. Satz 2 findet Anwendung auf Wahlperioden, die ab dem 30. Juni 2018 beginnen.</w:t>
      </w:r>
    </w:p>
    <w:p>
      <w:r>
        <w:t xml:space="preserve">(2) Die Wahl erfolgt nach den Grundsätzen der Verhältniswahl aufgrund von Listen- und Einzelwahlvorschlägen. Sie ist eine Briefwahl; die Kammern können in ihren Wahlordnungen ergänzende Möglichkeiten elektronischer Stimmabgabe regeln. Das Land bildet einen Wahlkreis. Alle Wahlberechtigten haben jeweils eine Stimme, mit der ein Listen- oder Einzelwahlvorschlag gewählt werden kann; die Kammern können in ihren Wahlordnungen die Möglichkeit ergänzender personenbezogener Stimmabgabe innerhalb von gewählten Listenwahlvorschlägen regeln.</w:t>
      </w:r>
    </w:p>
    <w:p>
      <w:r>
        <w:t xml:space="preserve">(3) Ist nur ein gültiger Wahlvorschlag eingegangen, erfolgt abweichend von Absatz 2 die Wahl unter den Bewerberinnen und Bewerbern dieses Vorschlages nach den Grundsätzen der relativen Mehrheitswahl. Die Wahlberechtigten haben so viele Stimmen, wie Mitglieder der Kammerversammlung zu wählen sind.</w:t>
      </w:r>
    </w:p>
    <w:p>
      <w:r>
        <w:t xml:space="preserve">(4) Die Kammern tragen die Wahlkosten.</w:t>
      </w:r>
    </w:p>
    <w:p>
      <w:r>
        <w:rPr>
          <w:color w:val="555555"/>
          <w:sz w:val="17"/>
        </w:rPr>
        <w:t xml:space="preserve">Zitiervorschlag: § 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