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HeilBerG (Brandenburg) — Urteilsfindung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Zum Gegenstand der Urteilsfindung können nur solche Verfehlungen gemacht werden, die in dem Eröffnungsbeschluss oder seinen Ergänzungen aufgeführt sind.</w:t>
      </w:r>
    </w:p>
    <w:p>
      <w:r>
        <w:t xml:space="preserve">(2) Das Urteil darf nur auf Tatsachen und Beweisergebnisse gestützt werden, die Gegenstand der Hauptverhandlung waren.</w:t>
      </w:r>
    </w:p>
    <w:p>
      <w:r>
        <w:t xml:space="preserve">(3) Das Gericht entscheidet nach seiner freien, aus dem Gesamtergebnis des Verfahrens gewonnenen Überzeugung.</w:t>
      </w:r>
    </w:p>
    <w:p>
      <w:r>
        <w:rPr>
          <w:color w:val="555555"/>
          <w:sz w:val="17"/>
        </w:rPr>
        <w:t xml:space="preserve">Zitiervorschlag: § 89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https://recht.nulegal.eu/gesetze/HeilBerG/89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