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HeilBerG (Brandenburg) — Anordnung der Hauptverhandlung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Entscheidet das Gericht nicht im Beschlussverfahren oder ist Antrag auf mündliche Verhandlung gestellt, so wird von der oder dem Vorsitzenden der Termin zur Hauptverhandlung anberaumt.</w:t>
      </w:r>
    </w:p>
    <w:p>
      <w:r>
        <w:t xml:space="preserve">(2) Zur Hauptverhandlung lädt die oder der Vorsitzende Beschuldigte, Beistände, Antragstellerinnen und Antragsteller sowie die übrigen Antragsberechtigten.</w:t>
      </w:r>
    </w:p>
    <w:p>
      <w:r>
        <w:t xml:space="preserve">(3) Der oder die Vorsitzende lädt ferner Zeuginnen und Zeugen sowie Sachverständige, deren persönliches Erscheinen er für erforderlich hält; ihre Namen sollen in den Ladungen der Beschuldigten, der Beistände sowie der Antragstellerinnen und Antragsteller angegeben werden.</w:t>
      </w:r>
    </w:p>
    <w:p>
      <w:r>
        <w:t xml:space="preserve">(4) Zwischen der Zustellung der Ladung und der Hauptverhandlung muss eine Frist von mindestens zwei Wochen liegen.</w:t>
      </w:r>
    </w:p>
    <w:p>
      <w:r>
        <w:rPr>
          <w:color w:val="555555"/>
          <w:sz w:val="17"/>
        </w:rPr>
        <w:t xml:space="preserve">Zitiervorschlag: § 82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https://recht.nulegal.eu/gesetze/HeilBerG/82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