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HeilBerG (Brandenburg) — Eröffnung des Verfahrens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berufsgerichtliche Verfahren wird durch einen Beschluss des Berufsgerichtes für Heilberufe eröffnet, in welchem die den Beschuldigten zur Last gelegten Verfehlungen anzuführen sind. Der Beschluss ist den Beschuldigten und den Antragsberechtigten zuzustellen. Findet ein Ermittlungsverfahren statt, so ist in dem Beschluss zugleich ein richterliches Mitglied des Berufsgerichtes für Heilberufe zu benennen, das das Ermittlungsverfahren führt (Untersuchungsführerin oder Untersuchungsführer).</w:t>
      </w:r>
    </w:p>
    <w:p>
      <w:r>
        <w:t xml:space="preserve">(2) Ist der Sachverhalt genügend geklärt, so kann das Berufsgericht für Heilberufe von der Einleitung eines Ermittlungsverfahrens absehen und sogleich die Hauptverhandlung anordnen oder im Beschlussverfahren entscheiden.</w:t>
      </w:r>
    </w:p>
    <w:p>
      <w:r>
        <w:rPr>
          <w:color w:val="555555"/>
          <w:sz w:val="17"/>
        </w:rPr>
        <w:t xml:space="preserve">Zitiervorschlag: § 73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