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HeilBerG (Brandenburg) — Geschäftsverteilung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Vor Beginn eines jeden Kalenderjahres ist zu bestimmen:</w:t>
      </w:r>
    </w:p>
    <w:p>
      <w:r>
        <w:t xml:space="preserve">die Zahl der Kammern oder Senate,</w:t>
      </w:r>
    </w:p>
    <w:p>
      <w:r>
        <w:t xml:space="preserve">die Geschäftsverteilung zwischen den Kammern oder Senaten,</w:t>
      </w:r>
    </w:p>
    <w:p>
      <w:r>
        <w:t xml:space="preserve">die Verteilung der Vorsitzenden, der sonstigen Mitglieder des Berufsgerichtes sowie ihrer Vertretungen auf die einzelnen Kammern oder Senate.</w:t>
      </w:r>
    </w:p>
    <w:p>
      <w:r>
        <w:t xml:space="preserve">(2) Die Bestimmung erfolgt auf die Dauer eines Kalenderjahres durch die Präsidentin oder den Präsidenten des Verwaltungsgerichtes Potsdam im Einvernehmen mit den beiden dienstältesten Berufsrichterinnen und Berufsrichtern des Berufsgerichtes.</w:t>
      </w:r>
    </w:p>
    <w:p>
      <w:r>
        <w:rPr>
          <w:color w:val="555555"/>
          <w:sz w:val="17"/>
        </w:rPr>
        <w:t xml:space="preserve">Zitiervorschlag: § 66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