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5b HeilBerG (Brandenburg) — Europäischer Berufsausweis</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Europäische Berufsausweis nach Artikel 3 Absatz 1 Buchstabe k der Richtlinie 2005/36/EG kann von Personen beantragt werden, die ihren Ausbildungsnachweis in einem Mitgliedstaat der Europäischen Union oder einem anderen Vertragsstaat des Abkommens über den Europäischen Wirtschaftsraum erworben haben oder deren Ausbildungsnachweise in einem dieser Staaten anerkannt wurden. Das Verfahren richtet sich nach den Artikeln 4a bis 4e der Richtlinie 2005/36/EG sowie den dazu ergangenen Durchführungsrechtsakten.</w:t>
      </w:r>
    </w:p>
    <w:p>
      <w:r>
        <w:t xml:space="preserve">(2) Liegen den Kammern Angaben über das Vorliegen disziplinarischer oder strafrechtlicher Sanktionen vor, die sich auf eine Untersagung oder Beschränkung beziehen und die sich auf die Berufsausübung der Inhaberin oder des Inhabers eines Europäischen Berufsausweises nach der Richtlinie 2005/36/EG auswirken, haben sie dies in der entsprechenden Datei des Binnenmarkt-Informationssystems (IMI-Datei) zu aktualisieren. Dabei haben sie die Rechtsvorschriften über den Schutz personenbezogener Daten zu beachten. Zu diesen Aktualisierungen gehört auch das Löschen von Informationen, die nicht mehr benötigt werden. Die Inhaberin oder der Inhaber des Europäischen Berufsausweises und die zuständigen Behörden, die Zugang zu der entsprechenden IMI-Datei haben, werden unverzüglich über etwaige Aktualisierungen informiert. Im Übrigen gelten die Vorgaben der Artikel 4a bis 4e der Richtlinie 2005/36/EG sowie der dazu ergangenen Durchführungsrechtsakte, insbesondere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w:t>
      </w:r>
    </w:p>
    <w:p>
      <w:r>
        <w:rPr>
          <w:color w:val="555555"/>
          <w:sz w:val="17"/>
        </w:rPr>
        <w:t xml:space="preserve">Zitiervorschlag: § 5b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