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59 HeilBerG (Brandenburg) — Berufsgerichtliche Maßnahmen</w:t>
      </w:r>
    </w:p>
    <w:p>
      <w:r>
        <w:rPr>
          <w:color w:val="555555"/>
          <w:sz w:val="18"/>
        </w:rPr>
        <w:t xml:space="preserve">Heilberufsgesetz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berufsgerichtlichen Verfahren kann erkannt werden auf:</w:t>
      </w:r>
    </w:p>
    <w:p>
      <w:r>
        <w:t xml:space="preserve">Warnung,</w:t>
      </w:r>
    </w:p>
    <w:p>
      <w:r>
        <w:t xml:space="preserve">Verweis,</w:t>
      </w:r>
    </w:p>
    <w:p>
      <w:r>
        <w:t xml:space="preserve">Entziehung des passiven Berufswahlrechtes,</w:t>
      </w:r>
    </w:p>
    <w:p>
      <w:r>
        <w:t xml:space="preserve">Geldbuße bis zu 50 000 Euro,</w:t>
      </w:r>
    </w:p>
    <w:p>
      <w:r>
        <w:t xml:space="preserve">Feststellung der Unwürdigkeit zur Ausübung des Berufes.</w:t>
      </w:r>
    </w:p>
    <w:p>
      <w:r>
        <w:t xml:space="preserve">(2) Die in Absatz 1 unter den Nummern 2 und 3 genannten Maßnahmen können neben der Maßnahme gemäß Nummer 4 getroffen werden.</w:t>
      </w:r>
    </w:p>
    <w:p>
      <w:r>
        <w:t xml:space="preserve">(3) In besonderen Fällen kann auf Veröffentlichung der Entscheidung erkannt werden.</w:t>
      </w:r>
    </w:p>
    <w:p>
      <w:r>
        <w:rPr>
          <w:color w:val="555555"/>
          <w:sz w:val="17"/>
        </w:rPr>
        <w:t xml:space="preserve">Zitiervorschlag: § 59 HeilBerG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https://recht.nulegal.eu/gesetze/HeilBerG/59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