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HeilBerG (Brandenburg) — Weiterbildungsrechtliche Bezeichnungen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Facharzt- und Schwerpunktbezeichnungen bestimmt nach § 36 die Landesärztekammer in den Fachrichtungen</w:t>
      </w:r>
    </w:p>
    <w:p>
      <w:r>
        <w:t xml:space="preserve">Konservative Medizin,</w:t>
      </w:r>
    </w:p>
    <w:p>
      <w:r>
        <w:t xml:space="preserve">Operative Medizin,</w:t>
      </w:r>
    </w:p>
    <w:p>
      <w:r>
        <w:t xml:space="preserve">Nervenheilkundliche Medizin,</w:t>
      </w:r>
    </w:p>
    <w:p>
      <w:r>
        <w:t xml:space="preserve">Theoretische Medizin,</w:t>
      </w:r>
    </w:p>
    <w:p>
      <w:r>
        <w:t xml:space="preserve">Ökologie,</w:t>
      </w:r>
    </w:p>
    <w:p>
      <w:r>
        <w:t xml:space="preserve">Methodisch-technische Medizin,</w:t>
      </w:r>
    </w:p>
    <w:p>
      <w:r>
        <w:t xml:space="preserve">Naturheilkunde</w:t>
      </w:r>
    </w:p>
    <w:p>
      <w:r>
        <w:t xml:space="preserve">und in Verbindungen dieser Fachrichtungen.</w:t>
      </w:r>
    </w:p>
    <w:p>
      <w:r>
        <w:t xml:space="preserve">(2) Abgesehen von Absatz 1 sind Facharztbezeichnungen auch die Bezeichnungen „Allgemeinmedizin“ und „Öffentliches Gesundheitswesen“.</w:t>
      </w:r>
    </w:p>
    <w:p>
      <w:r>
        <w:rPr>
          <w:color w:val="555555"/>
          <w:sz w:val="17"/>
        </w:rPr>
        <w:t xml:space="preserve">Zitiervorschlag: § 45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