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HeilBerG (Brandenburg) — Dienstleistende aus europäischen Staaten und Vertragsstaaten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Staatsangehörige eines Mitgliedstaates der Europäischen Union, Vertragsstaates des Abkommens über den Europäischen Wirtschaftsraum oder eines Vertragsstaates, dem die Bundesrepublik Deutschland und die Europäische Gemeinschaft oder die Bundesrepublik Deutschland und die Europäische Union einen entsprechenden Rechtsanspruch eingeräumt haben (europäische Staaten), die im Geltungsbereich dieses Gesetzes im Rahmen des Dienstleistungsverkehrs nach dem Recht der Europäischen Union ihren Beruf vorübergehend und gelegentlich im Sinne des Artikels 5 Abs. 2 Satz 2 der Richtlinie 2005/36/EG ausüben, gehören abweichend von § 3 Abs. 1 Satz 1 den Kammern nicht an, solange sie in einem der vorgenannten Staaten beruflich niedergelassen sind.</w:t>
      </w:r>
    </w:p>
    <w:p>
      <w:r>
        <w:t xml:space="preserve">(2) Die in Absatz 1 genannten Dienstleistenden haben hinsichtlich der Berufsausübung die gleichen Rechte und Pflichten wie Kammerangehörige. Die Vorschriften des Abschnittes 5 (Berufsausübung) und des Abschnittes 7 (Berufsgerichtsbarkeit) gelten für sie entsprechend. Sie haben ihre Dienstleistungen unter den entsprechenden deutschen Berufsbezeichnungen oder den von den Kammern nach § 35 bestimmten Bezeichnungen zu erbringen.</w:t>
      </w:r>
    </w:p>
    <w:p>
      <w:r>
        <w:t xml:space="preserve">(3) Im Falle einer Beschwerde über eine Dienstleistung durch die empfangende Person sind die Kammern berechtigt, alle für die Durchführung des Beschwerdeverfahrens erforderlichen Informationen auch bei den zuständigen Behörden des Niederlassungsstaates einzuholen. Die Kammern unterrichten die beschwerdeführenden Personen über das Ergebnis der Beschwerde und im Falle einer berufsrechtlichen oder berufsgerichtlichen Maßnahme auch die nach § 5 Abs. 4 zuständige Berufszulassungsbehörde.</w:t>
      </w:r>
    </w:p>
    <w:p>
      <w:r>
        <w:t xml:space="preserve">(4) Auf Anfragen der zuständigen Behörden eines europäischen Staates nach Absatz 1 über eine Dienstleistungserbringung von Kammerangehörigen in diesem Staat haben die Kammern die zur Durchführung des Verfahrens erforderlichen Angaben, insbesondere über das Vorliegen berufsrechtlicher oder berufsgerichtlicher Maßnahmen, zu machen.</w:t>
      </w:r>
    </w:p>
    <w:p>
      <w:r>
        <w:rPr>
          <w:color w:val="555555"/>
          <w:sz w:val="17"/>
        </w:rPr>
        <w:t xml:space="preserve">Zitiervorschlag: § 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