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34a HeilBerG (Brandenburg) — Beschwerderecht gegen Rüge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Innerhalb eines Monats nach ihrer Zustellung kann gegen die Rüge nach § 34 Absatz 1 Beschwerde beim Berufsgericht erhoben werden. Die Beschwerde kann während des weiteren Verfahrens zurückgenommen werden.</w:t>
      </w:r>
    </w:p>
    <w:p>
      <w:r>
        <w:t xml:space="preserve">(2) Das Berufsgericht bestätigt die Rüge, soweit es eine Berufspflichtverletzung für nachgewiesen hält, andernfalls hebt es die Rüge auf. War die Rüge mit einer Auflage nach § 34 Absatz 2 verbunden, kann das Berufsgericht auch bei Bestätigung der Rüge die Auflage abändern. Das Gericht entscheidet durch Urteil; gegen das Urteil ist der Rechtsbehelf nach § 103 Absatz 1 zulässig.</w:t>
      </w:r>
    </w:p>
    <w:p>
      <w:r>
        <w:t xml:space="preserve">(3) Absatz 1 Satz 2 und Absatz 2 finden Anwendung auf berufsgerichtliche Verfahren, die ab dem 30. Juni 2018 anhängig geworden sind.</w:t>
      </w:r>
    </w:p>
    <w:p>
      <w:r>
        <w:rPr>
          <w:color w:val="555555"/>
          <w:sz w:val="17"/>
        </w:rPr>
        <w:t xml:space="preserve">Zitiervorschlag: § 34a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https://recht.nulegal.eu/gesetze/HeilBerG/34a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