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HeilBerG (Brandenburg) — Allgemeine Berufspflichten, Unterrichtungspflicht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Kammerangehörigen sind verpflichtet, ihren Beruf gewissenhaft auszuüben und dem ihnen im Zusammenhang mit dem Beruf entgegengebrachten Vertrauen zu entsprechen.</w:t>
      </w:r>
    </w:p>
    <w:p>
      <w:r>
        <w:t xml:space="preserve">(2) Das Gesundheitsamt oder Veterinär- und Lebensmittelüberwachungsamt hat bei Verdacht einer Verletzung von Berufspflichten durch Kammerangehörige die Kammer zu unterrichten.</w:t>
      </w:r>
    </w:p>
    <w:p>
      <w:r>
        <w:rPr>
          <w:color w:val="555555"/>
          <w:sz w:val="17"/>
        </w:rPr>
        <w:t xml:space="preserve">Zitiervorschlag: § 30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